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1C3CB" w14:textId="77777777" w:rsidR="00922302" w:rsidRDefault="00922302" w:rsidP="00922302">
      <w:pPr>
        <w:tabs>
          <w:tab w:val="left" w:pos="5309"/>
        </w:tabs>
        <w:jc w:val="center"/>
        <w:rPr>
          <w:rFonts w:ascii="Times New Roman" w:hAnsi="Times New Roman" w:cs="Times New Roman"/>
          <w:b/>
        </w:rPr>
      </w:pPr>
      <w:r>
        <w:rPr>
          <w:rFonts w:ascii="Times New Roman" w:hAnsi="Times New Roman" w:cs="Times New Roman"/>
          <w:b/>
        </w:rPr>
        <w:t>L’histoire des Arts s’empare de la figure du héros.</w:t>
      </w:r>
      <w:r>
        <w:rPr>
          <w:rFonts w:ascii="Times New Roman" w:hAnsi="Times New Roman" w:cs="Times New Roman"/>
          <w:b/>
        </w:rPr>
        <w:br/>
        <w:t>Les h</w:t>
      </w:r>
      <w:r w:rsidRPr="005810E0">
        <w:rPr>
          <w:rFonts w:ascii="Times New Roman" w:hAnsi="Times New Roman" w:cs="Times New Roman"/>
          <w:b/>
        </w:rPr>
        <w:t>éros arméniens</w:t>
      </w:r>
      <w:r>
        <w:rPr>
          <w:rFonts w:ascii="Times New Roman" w:hAnsi="Times New Roman" w:cs="Times New Roman"/>
          <w:b/>
        </w:rPr>
        <w:t> en musique : du héros historique au héros mythique.</w:t>
      </w:r>
    </w:p>
    <w:p w14:paraId="38B11B2A" w14:textId="77777777" w:rsidR="00922302" w:rsidRPr="008E5C17" w:rsidRDefault="00922302" w:rsidP="00922302">
      <w:pPr>
        <w:pStyle w:val="Sansinterligne"/>
        <w:ind w:firstLine="567"/>
        <w:rPr>
          <w:rFonts w:ascii="Times New Roman" w:hAnsi="Times New Roman" w:cs="Times New Roman"/>
          <w:i/>
        </w:rPr>
      </w:pPr>
      <w:r w:rsidRPr="008E5C17">
        <w:rPr>
          <w:rFonts w:ascii="Times New Roman" w:hAnsi="Times New Roman" w:cs="Times New Roman"/>
          <w:i/>
        </w:rPr>
        <w:t>Cette étude est accessible à tous et est construit</w:t>
      </w:r>
      <w:r>
        <w:rPr>
          <w:rFonts w:ascii="Times New Roman" w:hAnsi="Times New Roman" w:cs="Times New Roman"/>
          <w:i/>
        </w:rPr>
        <w:t>e</w:t>
      </w:r>
      <w:r w:rsidRPr="008E5C17">
        <w:rPr>
          <w:rFonts w:ascii="Times New Roman" w:hAnsi="Times New Roman" w:cs="Times New Roman"/>
          <w:i/>
        </w:rPr>
        <w:t xml:space="preserve"> sous forme de fiches avec des illustrations, des textes et des fichiers sonores trouvables sur des sites spécialisés par internet. Les liens des sites sont mentionnés. Ces fiches s’adressent surtout aux enseignants et étudiants qui les organiseront comme ils le souhaitent en fonction de leur progression. Toutefois, ils ne sont pas hors de portée d’élèves, de collégiens et de lycéens. Cette étude a pour but de proposer un travail pédagogique avec eux, autour de la figure des héros du panthéon arménien. Le fil conducteur est l’histoire des arts en tant que discipline transversale : l’histoire, la littérature, la poésie, le chant, la musique, les arts plastiques et le cinéma sont convoqués.</w:t>
      </w:r>
    </w:p>
    <w:p w14:paraId="7D6BDA9E" w14:textId="77777777" w:rsidR="00922302" w:rsidRDefault="00922302" w:rsidP="00922302">
      <w:pPr>
        <w:pStyle w:val="Sansinterligne"/>
        <w:ind w:firstLine="567"/>
        <w:rPr>
          <w:rFonts w:ascii="Times New Roman" w:hAnsi="Times New Roman" w:cs="Times New Roman"/>
          <w:i/>
        </w:rPr>
      </w:pPr>
      <w:r w:rsidRPr="008E5C17">
        <w:rPr>
          <w:rFonts w:ascii="Times New Roman" w:hAnsi="Times New Roman" w:cs="Times New Roman"/>
          <w:i/>
        </w:rPr>
        <w:t xml:space="preserve">Chaque fiche du sujet donné en titre comporte donc une présentation du contexte historique, une traduction française ou un résumé du texte étudié, des analyses avec un vocabulaire simple et précis, une illustration, un ou des liens vers des sites dédiés. Par exemple, la terminologie musicale employée ne doit pas tétaniser le lecteur qui va dire « mais je n’y connais rien en musique ! ». En effet, si dans notre société du visuel omniprésent, on sait, peut-être, voir, sait-on pour autant regarder ? Il en est de même pour une audition et tout s’apprend. On entend bien si la hauteur est aigüe ou grave si le tempo est vif ou lent et si la puissance est douce ou forte. Il n’est pas nécessaire ici de savoir lire la musique. Il faut </w:t>
      </w:r>
      <w:r>
        <w:rPr>
          <w:rFonts w:ascii="Times New Roman" w:hAnsi="Times New Roman" w:cs="Times New Roman"/>
          <w:i/>
        </w:rPr>
        <w:t>simplement l’écouter et</w:t>
      </w:r>
      <w:r w:rsidRPr="008E5C17">
        <w:rPr>
          <w:rFonts w:ascii="Times New Roman" w:hAnsi="Times New Roman" w:cs="Times New Roman"/>
          <w:i/>
        </w:rPr>
        <w:t xml:space="preserve"> la recevoir.</w:t>
      </w:r>
    </w:p>
    <w:p w14:paraId="2DAEE0BA" w14:textId="77777777" w:rsidR="00922302" w:rsidRDefault="00922302" w:rsidP="00922302">
      <w:pPr>
        <w:pStyle w:val="Sansinterligne"/>
        <w:ind w:firstLine="567"/>
        <w:rPr>
          <w:rFonts w:ascii="Times New Roman" w:hAnsi="Times New Roman" w:cs="Times New Roman"/>
          <w:i/>
        </w:rPr>
      </w:pPr>
      <w:r>
        <w:rPr>
          <w:rFonts w:ascii="Times New Roman" w:hAnsi="Times New Roman" w:cs="Times New Roman"/>
          <w:i/>
        </w:rPr>
        <w:t>Quelques éléments facilitant la lecture de la translittération en arménien occidental :</w:t>
      </w:r>
    </w:p>
    <w:p w14:paraId="28F006D4" w14:textId="77777777" w:rsidR="00922302" w:rsidRDefault="00922302" w:rsidP="00922302">
      <w:pPr>
        <w:pStyle w:val="Sansinterligne"/>
        <w:numPr>
          <w:ilvl w:val="0"/>
          <w:numId w:val="1"/>
        </w:numPr>
        <w:rPr>
          <w:rFonts w:ascii="Times New Roman" w:hAnsi="Times New Roman" w:cs="Times New Roman"/>
          <w:i/>
        </w:rPr>
      </w:pPr>
      <w:proofErr w:type="spellStart"/>
      <w:r>
        <w:rPr>
          <w:rFonts w:ascii="Times New Roman" w:hAnsi="Times New Roman" w:cs="Times New Roman"/>
          <w:i/>
        </w:rPr>
        <w:t>Kh</w:t>
      </w:r>
      <w:proofErr w:type="spellEnd"/>
      <w:r>
        <w:rPr>
          <w:rFonts w:ascii="Times New Roman" w:hAnsi="Times New Roman" w:cs="Times New Roman"/>
          <w:i/>
        </w:rPr>
        <w:t xml:space="preserve">= comme la </w:t>
      </w:r>
      <w:r>
        <w:rPr>
          <w:rFonts w:ascii="Times New Roman" w:hAnsi="Times New Roman" w:cs="Times New Roman"/>
        </w:rPr>
        <w:t>jota</w:t>
      </w:r>
      <w:r>
        <w:rPr>
          <w:rFonts w:ascii="Times New Roman" w:hAnsi="Times New Roman" w:cs="Times New Roman"/>
          <w:i/>
        </w:rPr>
        <w:t xml:space="preserve"> espagnol ou le </w:t>
      </w:r>
      <w:proofErr w:type="spellStart"/>
      <w:r>
        <w:rPr>
          <w:rFonts w:ascii="Times New Roman" w:hAnsi="Times New Roman" w:cs="Times New Roman"/>
        </w:rPr>
        <w:t>ch</w:t>
      </w:r>
      <w:proofErr w:type="spellEnd"/>
      <w:r>
        <w:rPr>
          <w:rFonts w:ascii="Times New Roman" w:hAnsi="Times New Roman" w:cs="Times New Roman"/>
          <w:i/>
        </w:rPr>
        <w:t xml:space="preserve"> allemand.</w:t>
      </w:r>
    </w:p>
    <w:p w14:paraId="1B42C2E4" w14:textId="77777777" w:rsidR="00922302" w:rsidRDefault="00922302" w:rsidP="00922302">
      <w:pPr>
        <w:pStyle w:val="Sansinterligne"/>
        <w:numPr>
          <w:ilvl w:val="0"/>
          <w:numId w:val="1"/>
        </w:numPr>
        <w:rPr>
          <w:rFonts w:ascii="Times New Roman" w:hAnsi="Times New Roman" w:cs="Times New Roman"/>
          <w:i/>
        </w:rPr>
      </w:pPr>
      <w:proofErr w:type="spellStart"/>
      <w:r>
        <w:rPr>
          <w:rFonts w:ascii="Times New Roman" w:hAnsi="Times New Roman" w:cs="Times New Roman"/>
          <w:i/>
        </w:rPr>
        <w:t>Gh</w:t>
      </w:r>
      <w:proofErr w:type="spellEnd"/>
      <w:r>
        <w:rPr>
          <w:rFonts w:ascii="Times New Roman" w:hAnsi="Times New Roman" w:cs="Times New Roman"/>
          <w:i/>
        </w:rPr>
        <w:t xml:space="preserve">= comme le </w:t>
      </w:r>
      <w:r>
        <w:rPr>
          <w:rFonts w:ascii="Times New Roman" w:hAnsi="Times New Roman" w:cs="Times New Roman"/>
        </w:rPr>
        <w:t>R</w:t>
      </w:r>
      <w:r>
        <w:rPr>
          <w:rFonts w:ascii="Times New Roman" w:hAnsi="Times New Roman" w:cs="Times New Roman"/>
          <w:i/>
        </w:rPr>
        <w:t xml:space="preserve"> en français.</w:t>
      </w:r>
    </w:p>
    <w:p w14:paraId="6B3B706E" w14:textId="77777777" w:rsidR="00922302" w:rsidRDefault="00922302" w:rsidP="00922302">
      <w:pPr>
        <w:pStyle w:val="Sansinterligne"/>
        <w:numPr>
          <w:ilvl w:val="0"/>
          <w:numId w:val="1"/>
        </w:numPr>
        <w:rPr>
          <w:rFonts w:ascii="Times New Roman" w:hAnsi="Times New Roman" w:cs="Times New Roman"/>
          <w:i/>
        </w:rPr>
      </w:pPr>
      <w:r w:rsidRPr="003B6C56">
        <w:rPr>
          <w:rFonts w:ascii="Times New Roman" w:hAnsi="Times New Roman" w:cs="Times New Roman"/>
          <w:i/>
        </w:rPr>
        <w:t xml:space="preserve">R= le plus doux possible presque comme un </w:t>
      </w:r>
      <w:r w:rsidRPr="003B6C56">
        <w:rPr>
          <w:rFonts w:ascii="Times New Roman" w:hAnsi="Times New Roman" w:cs="Times New Roman"/>
        </w:rPr>
        <w:t>J.</w:t>
      </w:r>
    </w:p>
    <w:p w14:paraId="6255105D" w14:textId="77777777" w:rsidR="00922302" w:rsidRPr="003B6C56" w:rsidRDefault="00922302" w:rsidP="00922302">
      <w:pPr>
        <w:pStyle w:val="Sansinterligne"/>
        <w:numPr>
          <w:ilvl w:val="0"/>
          <w:numId w:val="1"/>
        </w:numPr>
        <w:rPr>
          <w:rFonts w:ascii="Times New Roman" w:hAnsi="Times New Roman" w:cs="Times New Roman"/>
          <w:i/>
        </w:rPr>
      </w:pPr>
      <w:r w:rsidRPr="003B6C56">
        <w:rPr>
          <w:rFonts w:ascii="Times New Roman" w:hAnsi="Times New Roman" w:cs="Times New Roman"/>
          <w:i/>
        </w:rPr>
        <w:t xml:space="preserve">G= comme un </w:t>
      </w:r>
      <w:proofErr w:type="spellStart"/>
      <w:r w:rsidRPr="003B6C56">
        <w:rPr>
          <w:rFonts w:ascii="Times New Roman" w:hAnsi="Times New Roman" w:cs="Times New Roman"/>
        </w:rPr>
        <w:t>Gu</w:t>
      </w:r>
      <w:proofErr w:type="spellEnd"/>
      <w:r w:rsidRPr="003B6C56">
        <w:rPr>
          <w:rFonts w:ascii="Times New Roman" w:hAnsi="Times New Roman" w:cs="Times New Roman"/>
        </w:rPr>
        <w:t>.</w:t>
      </w:r>
    </w:p>
    <w:p w14:paraId="7461A8E8" w14:textId="77777777" w:rsidR="00922302" w:rsidRPr="008E5C17" w:rsidRDefault="00922302" w:rsidP="00922302">
      <w:pPr>
        <w:pStyle w:val="Sansinterligne"/>
        <w:ind w:firstLine="567"/>
        <w:rPr>
          <w:rFonts w:ascii="Times New Roman" w:hAnsi="Times New Roman" w:cs="Times New Roman"/>
          <w:i/>
        </w:rPr>
      </w:pPr>
    </w:p>
    <w:p w14:paraId="6199C66A" w14:textId="77777777" w:rsidR="00922302" w:rsidRDefault="00922302" w:rsidP="00922302">
      <w:pPr>
        <w:ind w:firstLine="708"/>
        <w:jc w:val="center"/>
        <w:rPr>
          <w:rFonts w:ascii="Times New Roman" w:hAnsi="Times New Roman" w:cs="Times New Roman"/>
        </w:rPr>
      </w:pPr>
      <w:r>
        <w:rPr>
          <w:rFonts w:ascii="Times New Roman" w:hAnsi="Times New Roman" w:cs="Times New Roman"/>
        </w:rPr>
        <w:t>***</w:t>
      </w:r>
    </w:p>
    <w:p w14:paraId="50071E5D" w14:textId="77777777" w:rsidR="005041D6" w:rsidRDefault="005041D6" w:rsidP="00922302">
      <w:pPr>
        <w:ind w:firstLine="708"/>
        <w:jc w:val="both"/>
        <w:rPr>
          <w:rFonts w:ascii="Times New Roman" w:hAnsi="Times New Roman" w:cs="Times New Roman"/>
          <w:sz w:val="24"/>
          <w:szCs w:val="24"/>
        </w:rPr>
      </w:pPr>
    </w:p>
    <w:p w14:paraId="009D69B0" w14:textId="626B3531" w:rsidR="005041D6" w:rsidRDefault="005041D6" w:rsidP="005041D6">
      <w:pPr>
        <w:rPr>
          <w:rFonts w:ascii="Times New Roman" w:eastAsiaTheme="minorEastAsia" w:hAnsi="Times New Roman" w:cs="Times New Roman"/>
          <w:color w:val="FF0000"/>
          <w:sz w:val="24"/>
          <w:szCs w:val="24"/>
          <w:lang w:eastAsia="fr-FR"/>
        </w:rPr>
      </w:pPr>
    </w:p>
    <w:p w14:paraId="31EC3CFC" w14:textId="77777777" w:rsidR="005041D6" w:rsidRDefault="005041D6" w:rsidP="005041D6">
      <w:pPr>
        <w:rPr>
          <w:rFonts w:ascii="Times New Roman" w:hAnsi="Times New Roman" w:cs="Times New Roman"/>
        </w:rPr>
      </w:pPr>
    </w:p>
    <w:p w14:paraId="4EEC644B"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 xml:space="preserve">L’enseignement de l’histoire des arts s’appuie sur </w:t>
      </w:r>
      <w:proofErr w:type="gramStart"/>
      <w:r>
        <w:rPr>
          <w:rFonts w:ascii="Times New Roman" w:eastAsia="Times New Roman" w:hAnsi="Times New Roman" w:cs="Times New Roman"/>
        </w:rPr>
        <w:t>les  périodes</w:t>
      </w:r>
      <w:proofErr w:type="gramEnd"/>
      <w:r>
        <w:rPr>
          <w:rFonts w:ascii="Times New Roman" w:eastAsia="Times New Roman" w:hAnsi="Times New Roman" w:cs="Times New Roman"/>
        </w:rPr>
        <w:t xml:space="preserve"> de l’enseignement de l’histoire.</w:t>
      </w:r>
      <w:r>
        <w:rPr>
          <w:rFonts w:ascii="Times New Roman" w:eastAsia="Times New Roman" w:hAnsi="Times New Roman" w:cs="Times New Roman"/>
        </w:rPr>
        <w:br/>
        <w:t>Il fait partie du programme des enseignements artistiques du cycle 3.</w:t>
      </w:r>
    </w:p>
    <w:p w14:paraId="5DD060EE"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Objectifs / Contenus / Méthodes</w:t>
      </w:r>
    </w:p>
    <w:p w14:paraId="1E237E27"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 La découverte de l’œuvre, sa nature (visuelle, sonore, etc.) :</w:t>
      </w:r>
    </w:p>
    <w:p w14:paraId="52AB6307"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Débuter par une description objective, sans préjugés : Que voit-on ou entend-t-on ?</w:t>
      </w:r>
    </w:p>
    <w:p w14:paraId="1402DA9D"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 xml:space="preserve">Se saisir du titre, du texte du poème ou du chant afin de permettre aux élèves d’exprimer des commentaires sensibles et d’envisager des comparaisons avec ce </w:t>
      </w:r>
      <w:proofErr w:type="gramStart"/>
      <w:r>
        <w:rPr>
          <w:rFonts w:ascii="Times New Roman" w:eastAsia="Times New Roman" w:hAnsi="Times New Roman" w:cs="Times New Roman"/>
        </w:rPr>
        <w:t>leurs connaissance</w:t>
      </w:r>
      <w:proofErr w:type="gramEnd"/>
      <w:r>
        <w:rPr>
          <w:rFonts w:ascii="Times New Roman" w:eastAsia="Times New Roman" w:hAnsi="Times New Roman" w:cs="Times New Roman"/>
        </w:rPr>
        <w:t>.</w:t>
      </w:r>
    </w:p>
    <w:p w14:paraId="4C896F0F"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 Le contexte historique, géographique et artistique :</w:t>
      </w:r>
    </w:p>
    <w:p w14:paraId="4F766ADD" w14:textId="77777777" w:rsidR="005041D6" w:rsidRDefault="005041D6" w:rsidP="005041D6">
      <w:pPr>
        <w:rPr>
          <w:rFonts w:ascii="Times New Roman" w:eastAsia="Times New Roman" w:hAnsi="Times New Roman" w:cs="Times New Roman"/>
        </w:rPr>
      </w:pPr>
      <w:r>
        <w:rPr>
          <w:rFonts w:ascii="Times New Roman" w:eastAsia="Times New Roman" w:hAnsi="Times New Roman" w:cs="Times New Roman"/>
        </w:rPr>
        <w:t>C’est à l’enseignant de s’appuyer sur son étude préalable de l’œuvre et de guider les élèves afin de mieux leur faire comprendre l’œuvre.</w:t>
      </w:r>
    </w:p>
    <w:p w14:paraId="66F978B7" w14:textId="77777777" w:rsidR="005041D6" w:rsidRDefault="005041D6" w:rsidP="00922302">
      <w:pPr>
        <w:ind w:firstLine="708"/>
        <w:jc w:val="both"/>
        <w:rPr>
          <w:rFonts w:ascii="Times New Roman" w:hAnsi="Times New Roman" w:cs="Times New Roman"/>
          <w:sz w:val="24"/>
          <w:szCs w:val="24"/>
        </w:rPr>
      </w:pPr>
    </w:p>
    <w:p w14:paraId="07FC6342" w14:textId="77777777" w:rsidR="005041D6" w:rsidRDefault="005041D6" w:rsidP="00922302">
      <w:pPr>
        <w:ind w:firstLine="708"/>
        <w:jc w:val="both"/>
        <w:rPr>
          <w:rFonts w:ascii="Times New Roman" w:hAnsi="Times New Roman" w:cs="Times New Roman"/>
          <w:sz w:val="24"/>
          <w:szCs w:val="24"/>
        </w:rPr>
      </w:pPr>
    </w:p>
    <w:p w14:paraId="45D254BB" w14:textId="77777777" w:rsidR="005041D6" w:rsidRDefault="005041D6" w:rsidP="00922302">
      <w:pPr>
        <w:ind w:firstLine="708"/>
        <w:jc w:val="both"/>
        <w:rPr>
          <w:rFonts w:ascii="Times New Roman" w:hAnsi="Times New Roman" w:cs="Times New Roman"/>
          <w:sz w:val="24"/>
          <w:szCs w:val="24"/>
        </w:rPr>
      </w:pPr>
    </w:p>
    <w:p w14:paraId="530894C9" w14:textId="77777777" w:rsidR="005041D6" w:rsidRDefault="005041D6" w:rsidP="00922302">
      <w:pPr>
        <w:ind w:firstLine="708"/>
        <w:jc w:val="both"/>
        <w:rPr>
          <w:rFonts w:ascii="Times New Roman" w:hAnsi="Times New Roman" w:cs="Times New Roman"/>
          <w:sz w:val="24"/>
          <w:szCs w:val="24"/>
        </w:rPr>
      </w:pPr>
    </w:p>
    <w:p w14:paraId="50D5F059" w14:textId="77777777" w:rsidR="005041D6" w:rsidRDefault="005041D6" w:rsidP="00922302">
      <w:pPr>
        <w:ind w:firstLine="708"/>
        <w:jc w:val="both"/>
        <w:rPr>
          <w:rFonts w:ascii="Times New Roman" w:hAnsi="Times New Roman" w:cs="Times New Roman"/>
          <w:sz w:val="24"/>
          <w:szCs w:val="24"/>
        </w:rPr>
      </w:pPr>
    </w:p>
    <w:p w14:paraId="635DAD58" w14:textId="0B40D271" w:rsidR="00922302" w:rsidRPr="003B6C56" w:rsidRDefault="00922302" w:rsidP="00922302">
      <w:pPr>
        <w:ind w:firstLine="708"/>
        <w:jc w:val="both"/>
        <w:rPr>
          <w:rFonts w:ascii="Times New Roman" w:hAnsi="Times New Roman" w:cs="Times New Roman"/>
          <w:sz w:val="24"/>
          <w:szCs w:val="24"/>
        </w:rPr>
      </w:pPr>
      <w:r w:rsidRPr="003B6C56">
        <w:rPr>
          <w:rFonts w:ascii="Times New Roman" w:hAnsi="Times New Roman" w:cs="Times New Roman"/>
          <w:sz w:val="24"/>
          <w:szCs w:val="24"/>
        </w:rPr>
        <w:t>L’imaginaire collectif de chaque peuple ou civilisation perpétue la tradition du héros. Depuis quand existent-ils ? Ont-ils réellement existés ? Nul ne le sait vraiment et cela importe peu ! En effet, ce qui compte avant tout, ce sont les valeurs collectives qu’ils incarnent à travers le mythe et qui dépassent ainsi l’individu. Outre des attributs vestimentaires ou les armes qui dépeignent leur époque, les héros montrent généralement les mêmes invariants : une vie tumultueuse faite de bravoure, la croyance aux valeurs collectives de leur époque et une fidélité sans faille à un engagement.</w:t>
      </w:r>
    </w:p>
    <w:p w14:paraId="1BCFE4D5" w14:textId="77777777" w:rsidR="00922302" w:rsidRPr="003B6C56" w:rsidRDefault="00922302" w:rsidP="00922302">
      <w:pPr>
        <w:ind w:firstLine="708"/>
        <w:jc w:val="both"/>
        <w:rPr>
          <w:rFonts w:ascii="Times New Roman" w:hAnsi="Times New Roman" w:cs="Times New Roman"/>
          <w:sz w:val="24"/>
          <w:szCs w:val="24"/>
        </w:rPr>
      </w:pPr>
      <w:r w:rsidRPr="003B6C56">
        <w:rPr>
          <w:rFonts w:ascii="Times New Roman" w:hAnsi="Times New Roman" w:cs="Times New Roman"/>
          <w:sz w:val="24"/>
          <w:szCs w:val="24"/>
        </w:rPr>
        <w:t>L’imaginaire collectif a perpétué la tradition du héros par la tradition orale du conteur. Toutefois, avec l’apparition de l’écriture et de l’urbanisation, les contes et légendes ont été recueillis et souvent adaptés. Ainsi, par le biais de</w:t>
      </w:r>
      <w:r>
        <w:rPr>
          <w:rFonts w:ascii="Times New Roman" w:hAnsi="Times New Roman" w:cs="Times New Roman"/>
          <w:sz w:val="24"/>
          <w:szCs w:val="24"/>
        </w:rPr>
        <w:t>s transcriptions</w:t>
      </w:r>
      <w:r w:rsidRPr="003B6C56">
        <w:rPr>
          <w:rFonts w:ascii="Times New Roman" w:hAnsi="Times New Roman" w:cs="Times New Roman"/>
          <w:sz w:val="24"/>
          <w:szCs w:val="24"/>
        </w:rPr>
        <w:t xml:space="preserve"> </w:t>
      </w:r>
      <w:r>
        <w:rPr>
          <w:rFonts w:ascii="Times New Roman" w:hAnsi="Times New Roman" w:cs="Times New Roman"/>
          <w:sz w:val="24"/>
          <w:szCs w:val="24"/>
        </w:rPr>
        <w:t>historiques</w:t>
      </w:r>
      <w:r w:rsidRPr="003B6C56">
        <w:rPr>
          <w:rFonts w:ascii="Times New Roman" w:hAnsi="Times New Roman" w:cs="Times New Roman"/>
          <w:sz w:val="24"/>
          <w:szCs w:val="24"/>
        </w:rPr>
        <w:t xml:space="preserve">, l’imaginaire collectif s’est, en quelque sorte, retrouvé figé. </w:t>
      </w:r>
      <w:r>
        <w:rPr>
          <w:rFonts w:ascii="Times New Roman" w:hAnsi="Times New Roman" w:cs="Times New Roman"/>
          <w:sz w:val="24"/>
          <w:szCs w:val="24"/>
        </w:rPr>
        <w:t>En effet, qui de nos jours</w:t>
      </w:r>
      <w:r w:rsidRPr="003B6C56">
        <w:rPr>
          <w:rFonts w:ascii="Times New Roman" w:hAnsi="Times New Roman" w:cs="Times New Roman"/>
          <w:sz w:val="24"/>
          <w:szCs w:val="24"/>
        </w:rPr>
        <w:t xml:space="preserve"> connaît par cœur des légendes sans s’appuyer sur une version écrite ? En fait, se pose ici la question de l’évolution d’une légende. Comment gliss</w:t>
      </w:r>
      <w:r>
        <w:rPr>
          <w:rFonts w:ascii="Times New Roman" w:hAnsi="Times New Roman" w:cs="Times New Roman"/>
          <w:sz w:val="24"/>
          <w:szCs w:val="24"/>
        </w:rPr>
        <w:t>e-t-elle</w:t>
      </w:r>
      <w:r w:rsidRPr="003B6C56">
        <w:rPr>
          <w:rFonts w:ascii="Times New Roman" w:hAnsi="Times New Roman" w:cs="Times New Roman"/>
          <w:sz w:val="24"/>
          <w:szCs w:val="24"/>
        </w:rPr>
        <w:t xml:space="preserve"> de l’histoire vers le mythe ?</w:t>
      </w:r>
    </w:p>
    <w:p w14:paraId="118A8D62" w14:textId="77777777" w:rsidR="00922302" w:rsidRPr="003B6C56" w:rsidRDefault="00922302" w:rsidP="00922302">
      <w:pPr>
        <w:ind w:firstLine="708"/>
        <w:jc w:val="both"/>
        <w:rPr>
          <w:rFonts w:ascii="Times New Roman" w:hAnsi="Times New Roman" w:cs="Times New Roman"/>
          <w:sz w:val="24"/>
          <w:szCs w:val="24"/>
        </w:rPr>
      </w:pPr>
      <w:r w:rsidRPr="003B6C56">
        <w:rPr>
          <w:rFonts w:ascii="Times New Roman" w:hAnsi="Times New Roman" w:cs="Times New Roman"/>
          <w:sz w:val="24"/>
          <w:szCs w:val="24"/>
        </w:rPr>
        <w:t xml:space="preserve"> En prenant des exemples dans des figures du panthéon des héros arméniens, depuis l’épopée populaire </w:t>
      </w:r>
      <w:proofErr w:type="spellStart"/>
      <w:r w:rsidRPr="003B6C56">
        <w:rPr>
          <w:rFonts w:ascii="Times New Roman" w:hAnsi="Times New Roman" w:cs="Times New Roman"/>
          <w:i/>
          <w:sz w:val="24"/>
          <w:szCs w:val="24"/>
        </w:rPr>
        <w:t>Sasna</w:t>
      </w:r>
      <w:proofErr w:type="spellEnd"/>
      <w:r w:rsidRPr="003B6C56">
        <w:rPr>
          <w:rFonts w:ascii="Times New Roman" w:hAnsi="Times New Roman" w:cs="Times New Roman"/>
          <w:i/>
          <w:sz w:val="24"/>
          <w:szCs w:val="24"/>
        </w:rPr>
        <w:t xml:space="preserve"> </w:t>
      </w:r>
      <w:proofErr w:type="spellStart"/>
      <w:r w:rsidRPr="003B6C56">
        <w:rPr>
          <w:rFonts w:ascii="Times New Roman" w:hAnsi="Times New Roman" w:cs="Times New Roman"/>
          <w:i/>
          <w:sz w:val="24"/>
          <w:szCs w:val="24"/>
        </w:rPr>
        <w:t>Dzrèr</w:t>
      </w:r>
      <w:proofErr w:type="spellEnd"/>
      <w:r w:rsidRPr="003B6C56">
        <w:rPr>
          <w:rFonts w:ascii="Times New Roman" w:hAnsi="Times New Roman" w:cs="Times New Roman"/>
          <w:sz w:val="24"/>
          <w:szCs w:val="24"/>
        </w:rPr>
        <w:t xml:space="preserve"> (« les Tordus de </w:t>
      </w:r>
      <w:proofErr w:type="spellStart"/>
      <w:r w:rsidRPr="003B6C56">
        <w:rPr>
          <w:rFonts w:ascii="Times New Roman" w:hAnsi="Times New Roman" w:cs="Times New Roman"/>
          <w:sz w:val="24"/>
          <w:szCs w:val="24"/>
        </w:rPr>
        <w:t>Sassoun</w:t>
      </w:r>
      <w:proofErr w:type="spellEnd"/>
      <w:r w:rsidRPr="003B6C56">
        <w:rPr>
          <w:rFonts w:ascii="Times New Roman" w:hAnsi="Times New Roman" w:cs="Times New Roman"/>
          <w:sz w:val="24"/>
          <w:szCs w:val="24"/>
        </w:rPr>
        <w:t xml:space="preserve"> » avec notamment la figure de David de </w:t>
      </w:r>
      <w:proofErr w:type="spellStart"/>
      <w:r w:rsidRPr="003B6C56">
        <w:rPr>
          <w:rFonts w:ascii="Times New Roman" w:hAnsi="Times New Roman" w:cs="Times New Roman"/>
          <w:sz w:val="24"/>
          <w:szCs w:val="24"/>
        </w:rPr>
        <w:t>Sassoun</w:t>
      </w:r>
      <w:proofErr w:type="spellEnd"/>
      <w:r w:rsidRPr="003B6C56">
        <w:rPr>
          <w:rFonts w:ascii="Times New Roman" w:hAnsi="Times New Roman" w:cs="Times New Roman"/>
          <w:sz w:val="24"/>
          <w:szCs w:val="24"/>
        </w:rPr>
        <w:t xml:space="preserve">) </w:t>
      </w:r>
      <w:proofErr w:type="spellStart"/>
      <w:r w:rsidRPr="003B6C56">
        <w:rPr>
          <w:rFonts w:ascii="Times New Roman" w:hAnsi="Times New Roman" w:cs="Times New Roman"/>
          <w:sz w:val="24"/>
          <w:szCs w:val="24"/>
        </w:rPr>
        <w:t>à</w:t>
      </w:r>
      <w:proofErr w:type="spellEnd"/>
      <w:r w:rsidRPr="003B6C56">
        <w:rPr>
          <w:rFonts w:ascii="Times New Roman" w:hAnsi="Times New Roman" w:cs="Times New Roman"/>
          <w:sz w:val="24"/>
          <w:szCs w:val="24"/>
        </w:rPr>
        <w:t xml:space="preserve"> Monté </w:t>
      </w:r>
      <w:proofErr w:type="spellStart"/>
      <w:r w:rsidRPr="003B6C56">
        <w:rPr>
          <w:rFonts w:ascii="Times New Roman" w:hAnsi="Times New Roman" w:cs="Times New Roman"/>
          <w:sz w:val="24"/>
          <w:szCs w:val="24"/>
        </w:rPr>
        <w:t>Mèlkonian</w:t>
      </w:r>
      <w:proofErr w:type="spellEnd"/>
      <w:r w:rsidRPr="003B6C56">
        <w:rPr>
          <w:rFonts w:ascii="Times New Roman" w:hAnsi="Times New Roman" w:cs="Times New Roman"/>
          <w:sz w:val="24"/>
          <w:szCs w:val="24"/>
        </w:rPr>
        <w:t xml:space="preserve">, on retrouve les mêmes invariants, cités plus haut, et qui forgent les héros. En revanche, dans la meure où la réalité des faits historiques est différente de la réalité des valeurs transmises, qu’est-ce qui distingue un héros mythique comme David de </w:t>
      </w:r>
      <w:proofErr w:type="spellStart"/>
      <w:r w:rsidRPr="003B6C56">
        <w:rPr>
          <w:rFonts w:ascii="Times New Roman" w:hAnsi="Times New Roman" w:cs="Times New Roman"/>
          <w:sz w:val="24"/>
          <w:szCs w:val="24"/>
        </w:rPr>
        <w:t>Sassoun</w:t>
      </w:r>
      <w:proofErr w:type="spellEnd"/>
      <w:r w:rsidRPr="003B6C56">
        <w:rPr>
          <w:rFonts w:ascii="Times New Roman" w:hAnsi="Times New Roman" w:cs="Times New Roman"/>
          <w:sz w:val="24"/>
          <w:szCs w:val="24"/>
        </w:rPr>
        <w:t xml:space="preserve">, d’un héros historique comme Monté </w:t>
      </w:r>
      <w:proofErr w:type="spellStart"/>
      <w:r w:rsidRPr="003B6C56">
        <w:rPr>
          <w:rFonts w:ascii="Times New Roman" w:hAnsi="Times New Roman" w:cs="Times New Roman"/>
          <w:sz w:val="24"/>
          <w:szCs w:val="24"/>
        </w:rPr>
        <w:t>Mèlkonian</w:t>
      </w:r>
      <w:proofErr w:type="spellEnd"/>
      <w:r w:rsidRPr="003B6C56">
        <w:rPr>
          <w:rFonts w:ascii="Times New Roman" w:hAnsi="Times New Roman" w:cs="Times New Roman"/>
          <w:sz w:val="24"/>
          <w:szCs w:val="24"/>
        </w:rPr>
        <w:t> ?</w:t>
      </w:r>
    </w:p>
    <w:p w14:paraId="0B5E9F74" w14:textId="77777777" w:rsidR="00922302" w:rsidRPr="003B6C56" w:rsidRDefault="00922302" w:rsidP="00922302">
      <w:pPr>
        <w:ind w:firstLine="708"/>
        <w:jc w:val="both"/>
        <w:rPr>
          <w:rFonts w:ascii="Times New Roman" w:hAnsi="Times New Roman" w:cs="Times New Roman"/>
          <w:sz w:val="24"/>
          <w:szCs w:val="24"/>
        </w:rPr>
      </w:pPr>
      <w:r w:rsidRPr="003B6C56">
        <w:rPr>
          <w:rFonts w:ascii="Times New Roman" w:hAnsi="Times New Roman" w:cs="Times New Roman"/>
          <w:sz w:val="24"/>
          <w:szCs w:val="24"/>
        </w:rPr>
        <w:t xml:space="preserve">En nous appuyant sur les exemples de Vartan </w:t>
      </w:r>
      <w:proofErr w:type="spellStart"/>
      <w:r w:rsidRPr="003B6C56">
        <w:rPr>
          <w:rFonts w:ascii="Times New Roman" w:hAnsi="Times New Roman" w:cs="Times New Roman"/>
          <w:sz w:val="24"/>
          <w:szCs w:val="24"/>
        </w:rPr>
        <w:t>Mamigonian</w:t>
      </w:r>
      <w:proofErr w:type="spellEnd"/>
      <w:r w:rsidRPr="003B6C56">
        <w:rPr>
          <w:rFonts w:ascii="Times New Roman" w:hAnsi="Times New Roman" w:cs="Times New Roman"/>
          <w:sz w:val="24"/>
          <w:szCs w:val="24"/>
        </w:rPr>
        <w:t xml:space="preserve">, du général </w:t>
      </w:r>
      <w:proofErr w:type="spellStart"/>
      <w:r w:rsidRPr="003B6C56">
        <w:rPr>
          <w:rFonts w:ascii="Times New Roman" w:hAnsi="Times New Roman" w:cs="Times New Roman"/>
          <w:sz w:val="24"/>
          <w:szCs w:val="24"/>
        </w:rPr>
        <w:t>Antranig</w:t>
      </w:r>
      <w:proofErr w:type="spellEnd"/>
      <w:r w:rsidRPr="003B6C56">
        <w:rPr>
          <w:rFonts w:ascii="Times New Roman" w:hAnsi="Times New Roman" w:cs="Times New Roman"/>
          <w:sz w:val="24"/>
          <w:szCs w:val="24"/>
        </w:rPr>
        <w:t xml:space="preserve">, de </w:t>
      </w:r>
      <w:proofErr w:type="spellStart"/>
      <w:r w:rsidRPr="003B6C56">
        <w:rPr>
          <w:rFonts w:ascii="Times New Roman" w:hAnsi="Times New Roman" w:cs="Times New Roman"/>
          <w:sz w:val="24"/>
          <w:szCs w:val="24"/>
        </w:rPr>
        <w:t>Missag</w:t>
      </w:r>
      <w:proofErr w:type="spellEnd"/>
      <w:r w:rsidRPr="003B6C56">
        <w:rPr>
          <w:rFonts w:ascii="Times New Roman" w:hAnsi="Times New Roman" w:cs="Times New Roman"/>
          <w:sz w:val="24"/>
          <w:szCs w:val="24"/>
        </w:rPr>
        <w:t xml:space="preserve"> Manouchian et de Monté </w:t>
      </w:r>
      <w:proofErr w:type="spellStart"/>
      <w:r w:rsidRPr="003B6C56">
        <w:rPr>
          <w:rFonts w:ascii="Times New Roman" w:hAnsi="Times New Roman" w:cs="Times New Roman"/>
          <w:sz w:val="24"/>
          <w:szCs w:val="24"/>
        </w:rPr>
        <w:t>Mèlkonian</w:t>
      </w:r>
      <w:proofErr w:type="spellEnd"/>
      <w:r w:rsidRPr="003B6C56">
        <w:rPr>
          <w:rFonts w:ascii="Times New Roman" w:hAnsi="Times New Roman" w:cs="Times New Roman"/>
          <w:sz w:val="24"/>
          <w:szCs w:val="24"/>
        </w:rPr>
        <w:t xml:space="preserve">, ainsi que des figures mythiques de David de </w:t>
      </w:r>
      <w:proofErr w:type="spellStart"/>
      <w:r w:rsidRPr="003B6C56">
        <w:rPr>
          <w:rFonts w:ascii="Times New Roman" w:hAnsi="Times New Roman" w:cs="Times New Roman"/>
          <w:sz w:val="24"/>
          <w:szCs w:val="24"/>
        </w:rPr>
        <w:t>Sassoun</w:t>
      </w:r>
      <w:proofErr w:type="spellEnd"/>
      <w:r w:rsidRPr="003B6C56">
        <w:rPr>
          <w:rFonts w:ascii="Times New Roman" w:hAnsi="Times New Roman" w:cs="Times New Roman"/>
          <w:sz w:val="24"/>
          <w:szCs w:val="24"/>
        </w:rPr>
        <w:t xml:space="preserve"> et de l’anti-héros </w:t>
      </w:r>
      <w:proofErr w:type="spellStart"/>
      <w:r w:rsidRPr="003B6C56">
        <w:rPr>
          <w:rFonts w:ascii="Times New Roman" w:hAnsi="Times New Roman" w:cs="Times New Roman"/>
          <w:sz w:val="24"/>
          <w:szCs w:val="24"/>
        </w:rPr>
        <w:t>Nazar</w:t>
      </w:r>
      <w:proofErr w:type="spellEnd"/>
      <w:r w:rsidRPr="003B6C56">
        <w:rPr>
          <w:rFonts w:ascii="Times New Roman" w:hAnsi="Times New Roman" w:cs="Times New Roman"/>
          <w:sz w:val="24"/>
          <w:szCs w:val="24"/>
        </w:rPr>
        <w:t xml:space="preserve"> le Brave, nous allons suivre l’évolution qui conduit d’un héros historique à un héros mythique. Cette liste n’a absolument rien d’exhaustif, car nous aurions aussi bien pu convoquer </w:t>
      </w:r>
      <w:proofErr w:type="spellStart"/>
      <w:r w:rsidRPr="003B6C56">
        <w:rPr>
          <w:rFonts w:ascii="Times New Roman" w:hAnsi="Times New Roman" w:cs="Times New Roman"/>
          <w:sz w:val="24"/>
          <w:szCs w:val="24"/>
        </w:rPr>
        <w:t>Mekhitar</w:t>
      </w:r>
      <w:proofErr w:type="spellEnd"/>
      <w:r w:rsidRPr="003B6C56">
        <w:rPr>
          <w:rFonts w:ascii="Times New Roman" w:hAnsi="Times New Roman" w:cs="Times New Roman"/>
          <w:sz w:val="24"/>
          <w:szCs w:val="24"/>
        </w:rPr>
        <w:t xml:space="preserve"> </w:t>
      </w:r>
      <w:proofErr w:type="spellStart"/>
      <w:r w:rsidRPr="003B6C56">
        <w:rPr>
          <w:rFonts w:ascii="Times New Roman" w:hAnsi="Times New Roman" w:cs="Times New Roman"/>
          <w:sz w:val="24"/>
          <w:szCs w:val="24"/>
        </w:rPr>
        <w:t>Sparabed</w:t>
      </w:r>
      <w:proofErr w:type="spellEnd"/>
      <w:r w:rsidRPr="003B6C56">
        <w:rPr>
          <w:rFonts w:ascii="Times New Roman" w:hAnsi="Times New Roman" w:cs="Times New Roman"/>
          <w:sz w:val="24"/>
          <w:szCs w:val="24"/>
        </w:rPr>
        <w:t xml:space="preserve"> ou Ara le Bel. Toutefois, ce choix est guidé avant tout par une approche parallèle entre des chants, des textes et des illustrations qui évoquent ces héros.</w:t>
      </w:r>
    </w:p>
    <w:p w14:paraId="4817D71E" w14:textId="77777777" w:rsidR="00E40C92" w:rsidRDefault="00E40C92"/>
    <w:sectPr w:rsidR="00E40C92" w:rsidSect="00E5609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F0B9A"/>
    <w:multiLevelType w:val="hybridMultilevel"/>
    <w:tmpl w:val="BAA6F7D8"/>
    <w:lvl w:ilvl="0" w:tplc="3326AF9E">
      <w:start w:val="1"/>
      <w:numFmt w:val="bullet"/>
      <w:lvlText w:val="-"/>
      <w:lvlJc w:val="left"/>
      <w:pPr>
        <w:ind w:left="927" w:hanging="360"/>
      </w:pPr>
      <w:rPr>
        <w:rFonts w:ascii="Times New Roman" w:eastAsiaTheme="minorHAnsi" w:hAnsi="Times New Roman"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2302"/>
    <w:rsid w:val="005041D6"/>
    <w:rsid w:val="00922302"/>
    <w:rsid w:val="00E40C92"/>
    <w:rsid w:val="00E5609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DC011E"/>
  <w14:defaultImageDpi w14:val="300"/>
  <w15:docId w15:val="{1D4218E9-8D49-4C71-8B60-C815F1DA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302"/>
    <w:pPr>
      <w:spacing w:after="200" w:line="276" w:lineRule="auto"/>
    </w:pPr>
    <w:rPr>
      <w:rFonts w:eastAsiaTheme="minorHAnsi"/>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922302"/>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85136">
      <w:bodyDiv w:val="1"/>
      <w:marLeft w:val="0"/>
      <w:marRight w:val="0"/>
      <w:marTop w:val="0"/>
      <w:marBottom w:val="0"/>
      <w:divBdr>
        <w:top w:val="none" w:sz="0" w:space="0" w:color="auto"/>
        <w:left w:val="none" w:sz="0" w:space="0" w:color="auto"/>
        <w:bottom w:val="none" w:sz="0" w:space="0" w:color="auto"/>
        <w:right w:val="none" w:sz="0" w:space="0" w:color="auto"/>
      </w:divBdr>
    </w:div>
    <w:div w:id="11447409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739</Words>
  <Characters>4068</Characters>
  <Application>Microsoft Office Word</Application>
  <DocSecurity>0</DocSecurity>
  <Lines>33</Lines>
  <Paragraphs>9</Paragraphs>
  <ScaleCrop>false</ScaleCrop>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jacques Hagopian</cp:lastModifiedBy>
  <cp:revision>2</cp:revision>
  <dcterms:created xsi:type="dcterms:W3CDTF">2021-05-13T20:33:00Z</dcterms:created>
  <dcterms:modified xsi:type="dcterms:W3CDTF">2021-05-13T20:33:00Z</dcterms:modified>
</cp:coreProperties>
</file>